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F7384" w14:textId="77777777" w:rsidR="0009785E" w:rsidRPr="0009785E" w:rsidRDefault="0009785E" w:rsidP="0009785E">
      <w:pPr>
        <w:pBdr>
          <w:bottom w:val="single" w:sz="6" w:space="6" w:color="BDBFA4"/>
        </w:pBdr>
        <w:spacing w:after="0" w:line="312" w:lineRule="atLeast"/>
        <w:outlineLvl w:val="0"/>
        <w:rPr>
          <w:rFonts w:ascii="Lucida Sans Unicode" w:eastAsia="Times New Roman" w:hAnsi="Lucida Sans Unicode" w:cs="Lucida Sans Unicode"/>
          <w:color w:val="3C3D2F"/>
          <w:kern w:val="36"/>
          <w:sz w:val="48"/>
          <w:szCs w:val="48"/>
        </w:rPr>
      </w:pPr>
      <w:r w:rsidRPr="0009785E">
        <w:rPr>
          <w:rFonts w:ascii="Lucida Sans Unicode" w:eastAsia="Times New Roman" w:hAnsi="Lucida Sans Unicode" w:cs="Lucida Sans Unicode"/>
          <w:color w:val="3C3D2F"/>
          <w:kern w:val="36"/>
          <w:sz w:val="48"/>
          <w:szCs w:val="48"/>
        </w:rPr>
        <w:t>Gender and Development: basic concepts</w:t>
      </w:r>
    </w:p>
    <w:p w14:paraId="770E938C" w14:textId="617F595B" w:rsidR="0009785E" w:rsidRDefault="0009785E"/>
    <w:p w14:paraId="6F5693F1"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Gender is a complex variable that is a part of social, cultural, economic and political contexts. It is also relevant for the work of civil society movements. </w:t>
      </w:r>
      <w:r>
        <w:rPr>
          <w:rStyle w:val="Strong"/>
          <w:rFonts w:ascii="Lucida Sans Unicode" w:hAnsi="Lucida Sans Unicode" w:cs="Lucida Sans Unicode"/>
          <w:color w:val="3C3D2F"/>
          <w:sz w:val="18"/>
          <w:szCs w:val="18"/>
        </w:rPr>
        <w:t>Gender </w:t>
      </w:r>
      <w:r>
        <w:rPr>
          <w:rFonts w:ascii="Lucida Sans Unicode" w:hAnsi="Lucida Sans Unicode" w:cs="Lucida Sans Unicode"/>
          <w:color w:val="3C3D2F"/>
          <w:sz w:val="18"/>
          <w:szCs w:val="18"/>
        </w:rPr>
        <w:t>refers to socially constructed differences between men and women, whereas </w:t>
      </w:r>
      <w:r>
        <w:rPr>
          <w:rStyle w:val="Strong"/>
          <w:rFonts w:ascii="Lucida Sans Unicode" w:hAnsi="Lucida Sans Unicode" w:cs="Lucida Sans Unicode"/>
          <w:color w:val="3C3D2F"/>
          <w:sz w:val="18"/>
          <w:szCs w:val="18"/>
        </w:rPr>
        <w:t>Sex </w:t>
      </w:r>
      <w:r>
        <w:rPr>
          <w:rFonts w:ascii="Lucida Sans Unicode" w:hAnsi="Lucida Sans Unicode" w:cs="Lucida Sans Unicode"/>
          <w:color w:val="3C3D2F"/>
          <w:sz w:val="18"/>
          <w:szCs w:val="18"/>
        </w:rPr>
        <w:t>refers to biological differences between men and women. Being socially constructed, gender differences vary depending on age, marital status, religion, ethnicity, culture, race, class/caste and so on. Sexual differences vary little across these variables.</w:t>
      </w:r>
    </w:p>
    <w:p w14:paraId="677674CB"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 xml:space="preserve">Development analysts have recognized now for several decades the need to ensure that gender is examined and integrated into development projects.  In integrating gender into development, practitioners are responding to the priority needs of women and </w:t>
      </w:r>
      <w:proofErr w:type="gramStart"/>
      <w:r>
        <w:rPr>
          <w:rFonts w:ascii="Lucida Sans Unicode" w:hAnsi="Lucida Sans Unicode" w:cs="Lucida Sans Unicode"/>
          <w:color w:val="3C3D2F"/>
          <w:sz w:val="18"/>
          <w:szCs w:val="18"/>
        </w:rPr>
        <w:t>men, and</w:t>
      </w:r>
      <w:proofErr w:type="gramEnd"/>
      <w:r>
        <w:rPr>
          <w:rFonts w:ascii="Lucida Sans Unicode" w:hAnsi="Lucida Sans Unicode" w:cs="Lucida Sans Unicode"/>
          <w:color w:val="3C3D2F"/>
          <w:sz w:val="18"/>
          <w:szCs w:val="18"/>
        </w:rPr>
        <w:t xml:space="preserve"> being aware of what benefits or adverse effects could impact either.</w:t>
      </w:r>
    </w:p>
    <w:p w14:paraId="466B6D7B"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Style w:val="Strong"/>
          <w:rFonts w:ascii="Lucida Sans Unicode" w:hAnsi="Lucida Sans Unicode" w:cs="Lucida Sans Unicode"/>
          <w:color w:val="3C3D2F"/>
          <w:sz w:val="18"/>
          <w:szCs w:val="18"/>
        </w:rPr>
        <w:t>Why is Gender Relevant for Development?</w:t>
      </w:r>
    </w:p>
    <w:p w14:paraId="2253EA71"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 xml:space="preserve">In taking account of gender, development practitioners and social movement activists are looking at disparities that exist in male and female rights, responsibilities, access to and control over resources, and voice at household, community and national levels. Men and women often have different priorities, constraints and preferences with respect to development and can contribute to, and be affected differently by, development projects and campaigning interventions. To enhance effectiveness, these considerations must be addressed in all program and campaign design and interventions. If such considerations are not addressed thoughtfully and adequately, these interventions can lead not only to inefficient and unsustainable </w:t>
      </w:r>
      <w:proofErr w:type="gramStart"/>
      <w:r>
        <w:rPr>
          <w:rFonts w:ascii="Lucida Sans Unicode" w:hAnsi="Lucida Sans Unicode" w:cs="Lucida Sans Unicode"/>
          <w:color w:val="3C3D2F"/>
          <w:sz w:val="18"/>
          <w:szCs w:val="18"/>
        </w:rPr>
        <w:t>results, but</w:t>
      </w:r>
      <w:proofErr w:type="gramEnd"/>
      <w:r>
        <w:rPr>
          <w:rFonts w:ascii="Lucida Sans Unicode" w:hAnsi="Lucida Sans Unicode" w:cs="Lucida Sans Unicode"/>
          <w:color w:val="3C3D2F"/>
          <w:sz w:val="18"/>
          <w:szCs w:val="18"/>
        </w:rPr>
        <w:t xml:space="preserve"> may also exacerbate existing inequities. Understanding gender issues can enable projects to take account of these and build in capacity to deal with inequitable impacts and to ensure sustainability.</w:t>
      </w:r>
    </w:p>
    <w:p w14:paraId="0855B3F7"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When we talk about Gender Equality, we are referring to a combination of legal equality and equal opportunities including opportunities to speak out. More often, this is about making better opportunities in all of these areas for women. </w:t>
      </w:r>
    </w:p>
    <w:p w14:paraId="5AE5C613"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 xml:space="preserve">Women’s rights are protected by many international instruments and laws. The best known is probably the Convention for Elimination of Discrimination Against Women (CEDAW, 1979) – a UN </w:t>
      </w:r>
      <w:proofErr w:type="gramStart"/>
      <w:r>
        <w:rPr>
          <w:rFonts w:ascii="Lucida Sans Unicode" w:hAnsi="Lucida Sans Unicode" w:cs="Lucida Sans Unicode"/>
          <w:color w:val="3C3D2F"/>
          <w:sz w:val="18"/>
          <w:szCs w:val="18"/>
        </w:rPr>
        <w:t>Treaty  adopted</w:t>
      </w:r>
      <w:proofErr w:type="gramEnd"/>
      <w:r>
        <w:rPr>
          <w:rFonts w:ascii="Lucida Sans Unicode" w:hAnsi="Lucida Sans Unicode" w:cs="Lucida Sans Unicode"/>
          <w:color w:val="3C3D2F"/>
          <w:sz w:val="18"/>
          <w:szCs w:val="18"/>
        </w:rPr>
        <w:t xml:space="preserve"> by the General Assembly  in 1979 and signed initially by 64 states in July the following year.  An optional protocol was later developed setting out a mechanism by which states would be held accountable to the treaty. There have been subsequent international declarations and pledges which have been used as </w:t>
      </w:r>
      <w:proofErr w:type="gramStart"/>
      <w:r>
        <w:rPr>
          <w:rFonts w:ascii="Lucida Sans Unicode" w:hAnsi="Lucida Sans Unicode" w:cs="Lucida Sans Unicode"/>
          <w:color w:val="3C3D2F"/>
          <w:sz w:val="18"/>
          <w:szCs w:val="18"/>
        </w:rPr>
        <w:t>bench marks</w:t>
      </w:r>
      <w:proofErr w:type="gramEnd"/>
      <w:r>
        <w:rPr>
          <w:rFonts w:ascii="Lucida Sans Unicode" w:hAnsi="Lucida Sans Unicode" w:cs="Lucida Sans Unicode"/>
          <w:color w:val="3C3D2F"/>
          <w:sz w:val="18"/>
          <w:szCs w:val="18"/>
        </w:rPr>
        <w:t xml:space="preserve"> to measure progress in relation to specific women’s issues. These include the Beijing Declaration and Platform for Action (1995), and the Millennium Development Goals (2001) which include gender considerations in almost half of the clauses. The MDGs have been mutually reinforcing; progress toward one goal affects progress toward the others. But, the third goal addresses gender equality specifically. The successor Sustainable Development Goals (SDGs), due to be adopted in 2015 as part of a broad </w:t>
      </w:r>
      <w:r>
        <w:rPr>
          <w:rFonts w:ascii="Lucida Sans Unicode" w:hAnsi="Lucida Sans Unicode" w:cs="Lucida Sans Unicode"/>
          <w:color w:val="3C3D2F"/>
          <w:sz w:val="18"/>
          <w:szCs w:val="18"/>
        </w:rPr>
        <w:lastRenderedPageBreak/>
        <w:t>Sustainable Development Agenda, include achieving ‘gender equality and empower all women and girls’ as the proposed Goal 5.</w:t>
      </w:r>
    </w:p>
    <w:p w14:paraId="3BEC9B59"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Style w:val="Strong"/>
          <w:rFonts w:ascii="Lucida Sans Unicode" w:hAnsi="Lucida Sans Unicode" w:cs="Lucida Sans Unicode"/>
          <w:color w:val="3C3D2F"/>
          <w:sz w:val="18"/>
          <w:szCs w:val="18"/>
        </w:rPr>
        <w:t>Historical trends in integrating gender into development</w:t>
      </w:r>
    </w:p>
    <w:p w14:paraId="7F107401"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An early approach involved targeting women by project design and interventions which focused on women as a separate group. This was commonly referred to as </w:t>
      </w:r>
      <w:r>
        <w:rPr>
          <w:rStyle w:val="Strong"/>
          <w:rFonts w:ascii="Lucida Sans Unicode" w:hAnsi="Lucida Sans Unicode" w:cs="Lucida Sans Unicode"/>
          <w:color w:val="3C3D2F"/>
          <w:sz w:val="18"/>
          <w:szCs w:val="18"/>
        </w:rPr>
        <w:t>WID</w:t>
      </w:r>
      <w:r>
        <w:rPr>
          <w:rFonts w:ascii="Lucida Sans Unicode" w:hAnsi="Lucida Sans Unicode" w:cs="Lucida Sans Unicode"/>
          <w:color w:val="3C3D2F"/>
          <w:sz w:val="18"/>
          <w:szCs w:val="18"/>
        </w:rPr>
        <w:t> (Women in Development). Critics of this approach pointed out that this did not address men, and a later model usually referred to as </w:t>
      </w:r>
      <w:r>
        <w:rPr>
          <w:rStyle w:val="Strong"/>
          <w:rFonts w:ascii="Lucida Sans Unicode" w:hAnsi="Lucida Sans Unicode" w:cs="Lucida Sans Unicode"/>
          <w:color w:val="3C3D2F"/>
          <w:sz w:val="18"/>
          <w:szCs w:val="18"/>
        </w:rPr>
        <w:t>GAD</w:t>
      </w:r>
      <w:r>
        <w:rPr>
          <w:rFonts w:ascii="Lucida Sans Unicode" w:hAnsi="Lucida Sans Unicode" w:cs="Lucida Sans Unicode"/>
          <w:color w:val="3C3D2F"/>
          <w:sz w:val="18"/>
          <w:szCs w:val="18"/>
        </w:rPr>
        <w:t xml:space="preserve"> (Gender and </w:t>
      </w:r>
      <w:proofErr w:type="gramStart"/>
      <w:r>
        <w:rPr>
          <w:rFonts w:ascii="Lucida Sans Unicode" w:hAnsi="Lucida Sans Unicode" w:cs="Lucida Sans Unicode"/>
          <w:color w:val="3C3D2F"/>
          <w:sz w:val="18"/>
          <w:szCs w:val="18"/>
        </w:rPr>
        <w:t>Development)  concentrated</w:t>
      </w:r>
      <w:proofErr w:type="gramEnd"/>
      <w:r>
        <w:rPr>
          <w:rFonts w:ascii="Lucida Sans Unicode" w:hAnsi="Lucida Sans Unicode" w:cs="Lucida Sans Unicode"/>
          <w:color w:val="3C3D2F"/>
          <w:sz w:val="18"/>
          <w:szCs w:val="18"/>
        </w:rPr>
        <w:t xml:space="preserve"> more on project design and interventions that were  focused on a development process that transforms gender relations. This aimed to enable women to participate on an equal basis with men in determining their common future. The Gender Equality approach is therefore about men and women and is thus a more comprehensive approach to analysis and design of development interventions because it </w:t>
      </w:r>
      <w:proofErr w:type="gramStart"/>
      <w:r>
        <w:rPr>
          <w:rFonts w:ascii="Lucida Sans Unicode" w:hAnsi="Lucida Sans Unicode" w:cs="Lucida Sans Unicode"/>
          <w:color w:val="3C3D2F"/>
          <w:sz w:val="18"/>
          <w:szCs w:val="18"/>
        </w:rPr>
        <w:t>takes into account</w:t>
      </w:r>
      <w:proofErr w:type="gramEnd"/>
      <w:r>
        <w:rPr>
          <w:rFonts w:ascii="Lucida Sans Unicode" w:hAnsi="Lucida Sans Unicode" w:cs="Lucida Sans Unicode"/>
          <w:color w:val="3C3D2F"/>
          <w:sz w:val="18"/>
          <w:szCs w:val="18"/>
        </w:rPr>
        <w:t xml:space="preserve"> the situation and needs of both men and women. It aims to involve both women and men in addressing their development problems, to reform institutions to establish equal rights and opportunities, and to foster economic development which strengthens equal participation.  Such an approach aims to redress persistent disparities in access to resources and the ability to speak out.</w:t>
      </w:r>
    </w:p>
    <w:p w14:paraId="353F3FED"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Style w:val="Strong"/>
          <w:rFonts w:ascii="Lucida Sans Unicode" w:hAnsi="Lucida Sans Unicode" w:cs="Lucida Sans Unicode"/>
          <w:color w:val="3C3D2F"/>
          <w:sz w:val="18"/>
          <w:szCs w:val="18"/>
        </w:rPr>
        <w:t>Masculinities</w:t>
      </w:r>
    </w:p>
    <w:p w14:paraId="568440C9"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 xml:space="preserve">It has also been </w:t>
      </w:r>
      <w:proofErr w:type="spellStart"/>
      <w:r>
        <w:rPr>
          <w:rFonts w:ascii="Lucida Sans Unicode" w:hAnsi="Lucida Sans Unicode" w:cs="Lucida Sans Unicode"/>
          <w:color w:val="3C3D2F"/>
          <w:sz w:val="18"/>
          <w:szCs w:val="18"/>
        </w:rPr>
        <w:t>recognised</w:t>
      </w:r>
      <w:proofErr w:type="spellEnd"/>
      <w:r>
        <w:rPr>
          <w:rFonts w:ascii="Lucida Sans Unicode" w:hAnsi="Lucida Sans Unicode" w:cs="Lucida Sans Unicode"/>
          <w:color w:val="3C3D2F"/>
          <w:sz w:val="18"/>
          <w:szCs w:val="18"/>
        </w:rPr>
        <w:t xml:space="preserve"> by specialists and activists in this field that the </w:t>
      </w:r>
      <w:proofErr w:type="spellStart"/>
      <w:r>
        <w:rPr>
          <w:rFonts w:ascii="Lucida Sans Unicode" w:hAnsi="Lucida Sans Unicode" w:cs="Lucida Sans Unicode"/>
          <w:color w:val="3C3D2F"/>
          <w:sz w:val="18"/>
          <w:szCs w:val="18"/>
        </w:rPr>
        <w:t>behaviour</w:t>
      </w:r>
      <w:proofErr w:type="spellEnd"/>
      <w:r>
        <w:rPr>
          <w:rFonts w:ascii="Lucida Sans Unicode" w:hAnsi="Lucida Sans Unicode" w:cs="Lucida Sans Unicode"/>
          <w:color w:val="3C3D2F"/>
          <w:sz w:val="18"/>
          <w:szCs w:val="18"/>
        </w:rPr>
        <w:t xml:space="preserve"> of men needs to be addressed in the context of gender work. Unless men challenge themselves as to the ways in which their own </w:t>
      </w:r>
      <w:proofErr w:type="spellStart"/>
      <w:r>
        <w:rPr>
          <w:rFonts w:ascii="Lucida Sans Unicode" w:hAnsi="Lucida Sans Unicode" w:cs="Lucida Sans Unicode"/>
          <w:color w:val="3C3D2F"/>
          <w:sz w:val="18"/>
          <w:szCs w:val="18"/>
        </w:rPr>
        <w:t>behaviour</w:t>
      </w:r>
      <w:proofErr w:type="spellEnd"/>
      <w:r>
        <w:rPr>
          <w:rFonts w:ascii="Lucida Sans Unicode" w:hAnsi="Lucida Sans Unicode" w:cs="Lucida Sans Unicode"/>
          <w:color w:val="3C3D2F"/>
          <w:sz w:val="18"/>
          <w:szCs w:val="18"/>
        </w:rPr>
        <w:t>, attitudes and upbringing perpetuates gender inequality, gender injustice and gender violence,</w:t>
      </w:r>
      <w:bookmarkStart w:id="0" w:name="_ednref1"/>
      <w:r>
        <w:rPr>
          <w:rFonts w:ascii="Lucida Sans Unicode" w:hAnsi="Lucida Sans Unicode" w:cs="Lucida Sans Unicode"/>
          <w:color w:val="3C3D2F"/>
          <w:sz w:val="18"/>
          <w:szCs w:val="18"/>
        </w:rPr>
        <w:fldChar w:fldCharType="begin"/>
      </w:r>
      <w:r>
        <w:rPr>
          <w:rFonts w:ascii="Lucida Sans Unicode" w:hAnsi="Lucida Sans Unicode" w:cs="Lucida Sans Unicode"/>
          <w:color w:val="3C3D2F"/>
          <w:sz w:val="18"/>
          <w:szCs w:val="18"/>
        </w:rPr>
        <w:instrText xml:space="preserve"> HYPERLINK "https://www.downtoearth-indonesia.org/story/gender-and-development-basic-concepts" \l "_edn1" \o "" </w:instrText>
      </w:r>
      <w:r>
        <w:rPr>
          <w:rFonts w:ascii="Lucida Sans Unicode" w:hAnsi="Lucida Sans Unicode" w:cs="Lucida Sans Unicode"/>
          <w:color w:val="3C3D2F"/>
          <w:sz w:val="18"/>
          <w:szCs w:val="18"/>
        </w:rPr>
        <w:fldChar w:fldCharType="separate"/>
      </w:r>
      <w:r>
        <w:rPr>
          <w:rStyle w:val="Hyperlink"/>
          <w:rFonts w:ascii="Lucida Sans Unicode" w:hAnsi="Lucida Sans Unicode" w:cs="Lucida Sans Unicode"/>
          <w:color w:val="E76832"/>
          <w:sz w:val="18"/>
          <w:szCs w:val="18"/>
          <w:u w:val="none"/>
        </w:rPr>
        <w:t>[1]</w:t>
      </w:r>
      <w:r>
        <w:rPr>
          <w:rFonts w:ascii="Lucida Sans Unicode" w:hAnsi="Lucida Sans Unicode" w:cs="Lucida Sans Unicode"/>
          <w:color w:val="3C3D2F"/>
          <w:sz w:val="18"/>
          <w:szCs w:val="18"/>
        </w:rPr>
        <w:fldChar w:fldCharType="end"/>
      </w:r>
      <w:bookmarkEnd w:id="0"/>
      <w:r>
        <w:rPr>
          <w:rFonts w:ascii="Lucida Sans Unicode" w:hAnsi="Lucida Sans Unicode" w:cs="Lucida Sans Unicode"/>
          <w:color w:val="3C3D2F"/>
          <w:sz w:val="18"/>
          <w:szCs w:val="18"/>
        </w:rPr>
        <w:t xml:space="preserve"> nothing will change. For more than two decades now, a growing number of </w:t>
      </w:r>
      <w:proofErr w:type="spellStart"/>
      <w:r>
        <w:rPr>
          <w:rFonts w:ascii="Lucida Sans Unicode" w:hAnsi="Lucida Sans Unicode" w:cs="Lucida Sans Unicode"/>
          <w:color w:val="3C3D2F"/>
          <w:sz w:val="18"/>
          <w:szCs w:val="18"/>
        </w:rPr>
        <w:t>programmes</w:t>
      </w:r>
      <w:proofErr w:type="spellEnd"/>
      <w:r>
        <w:rPr>
          <w:rFonts w:ascii="Lucida Sans Unicode" w:hAnsi="Lucida Sans Unicode" w:cs="Lucida Sans Unicode"/>
          <w:color w:val="3C3D2F"/>
          <w:sz w:val="18"/>
          <w:szCs w:val="18"/>
        </w:rPr>
        <w:t xml:space="preserve"> addressing these issues have been developed in various parts of the world and the learning shared and adapted to new contexts.  Among the most </w:t>
      </w:r>
      <w:proofErr w:type="spellStart"/>
      <w:r>
        <w:rPr>
          <w:rFonts w:ascii="Lucida Sans Unicode" w:hAnsi="Lucida Sans Unicode" w:cs="Lucida Sans Unicode"/>
          <w:color w:val="3C3D2F"/>
          <w:sz w:val="18"/>
          <w:szCs w:val="18"/>
        </w:rPr>
        <w:t>well known</w:t>
      </w:r>
      <w:proofErr w:type="spellEnd"/>
      <w:r>
        <w:rPr>
          <w:rFonts w:ascii="Lucida Sans Unicode" w:hAnsi="Lucida Sans Unicode" w:cs="Lucida Sans Unicode"/>
          <w:color w:val="3C3D2F"/>
          <w:sz w:val="18"/>
          <w:szCs w:val="18"/>
        </w:rPr>
        <w:t xml:space="preserve"> have been the </w:t>
      </w:r>
      <w:proofErr w:type="spellStart"/>
      <w:r>
        <w:rPr>
          <w:rFonts w:ascii="Lucida Sans Unicode" w:hAnsi="Lucida Sans Unicode" w:cs="Lucida Sans Unicode"/>
          <w:color w:val="3C3D2F"/>
          <w:sz w:val="18"/>
          <w:szCs w:val="18"/>
        </w:rPr>
        <w:t>programmes</w:t>
      </w:r>
      <w:proofErr w:type="spellEnd"/>
      <w:r>
        <w:rPr>
          <w:rFonts w:ascii="Lucida Sans Unicode" w:hAnsi="Lucida Sans Unicode" w:cs="Lucida Sans Unicode"/>
          <w:color w:val="3C3D2F"/>
          <w:sz w:val="18"/>
          <w:szCs w:val="18"/>
        </w:rPr>
        <w:t xml:space="preserve"> of Puntos de Encuentro and Cantera in Nicaragua, and its </w:t>
      </w:r>
      <w:proofErr w:type="spellStart"/>
      <w:r>
        <w:rPr>
          <w:rFonts w:ascii="Lucida Sans Unicode" w:hAnsi="Lucida Sans Unicode" w:cs="Lucida Sans Unicode"/>
          <w:color w:val="3C3D2F"/>
          <w:sz w:val="18"/>
          <w:szCs w:val="18"/>
        </w:rPr>
        <w:t>programmes</w:t>
      </w:r>
      <w:proofErr w:type="spellEnd"/>
      <w:r>
        <w:rPr>
          <w:rFonts w:ascii="Lucida Sans Unicode" w:hAnsi="Lucida Sans Unicode" w:cs="Lucida Sans Unicode"/>
          <w:color w:val="3C3D2F"/>
          <w:sz w:val="18"/>
          <w:szCs w:val="18"/>
        </w:rPr>
        <w:t xml:space="preserve"> on male </w:t>
      </w:r>
      <w:proofErr w:type="spellStart"/>
      <w:r>
        <w:rPr>
          <w:rFonts w:ascii="Lucida Sans Unicode" w:hAnsi="Lucida Sans Unicode" w:cs="Lucida Sans Unicode"/>
          <w:color w:val="3C3D2F"/>
          <w:sz w:val="18"/>
          <w:szCs w:val="18"/>
        </w:rPr>
        <w:t>behaviour</w:t>
      </w:r>
      <w:proofErr w:type="spellEnd"/>
      <w:r>
        <w:rPr>
          <w:rFonts w:ascii="Lucida Sans Unicode" w:hAnsi="Lucida Sans Unicode" w:cs="Lucida Sans Unicode"/>
          <w:color w:val="3C3D2F"/>
          <w:sz w:val="18"/>
          <w:szCs w:val="18"/>
        </w:rPr>
        <w:t xml:space="preserve"> change.  Another example, </w:t>
      </w:r>
      <w:proofErr w:type="gramStart"/>
      <w:r>
        <w:rPr>
          <w:rFonts w:ascii="Lucida Sans Unicode" w:hAnsi="Lucida Sans Unicode" w:cs="Lucida Sans Unicode"/>
          <w:color w:val="3C3D2F"/>
          <w:sz w:val="18"/>
          <w:szCs w:val="18"/>
        </w:rPr>
        <w:t>Stepping Stones</w:t>
      </w:r>
      <w:proofErr w:type="gramEnd"/>
      <w:r>
        <w:rPr>
          <w:rFonts w:ascii="Lucida Sans Unicode" w:hAnsi="Lucida Sans Unicode" w:cs="Lucida Sans Unicode"/>
          <w:color w:val="3C3D2F"/>
          <w:sz w:val="18"/>
          <w:szCs w:val="18"/>
        </w:rPr>
        <w:t xml:space="preserve">, a small group intervention using participatory learning to help improve sexual health, began in Uganda but was adapted for different countries across sub Saharan Africa including Gambia, Ghana, Kenya, South Africa, Tanzania and Zambia, as well as for the Philippines. Its community training package “aims to encourage communities to question and rectify the gender inequalities that contribute to HIV/AIDS, gender based violence and other issues”  and again </w:t>
      </w:r>
      <w:proofErr w:type="spellStart"/>
      <w:r>
        <w:rPr>
          <w:rFonts w:ascii="Lucida Sans Unicode" w:hAnsi="Lucida Sans Unicode" w:cs="Lucida Sans Unicode"/>
          <w:color w:val="3C3D2F"/>
          <w:sz w:val="18"/>
          <w:szCs w:val="18"/>
        </w:rPr>
        <w:t>focussed</w:t>
      </w:r>
      <w:proofErr w:type="spellEnd"/>
      <w:r>
        <w:rPr>
          <w:rFonts w:ascii="Lucida Sans Unicode" w:hAnsi="Lucida Sans Unicode" w:cs="Lucida Sans Unicode"/>
          <w:color w:val="3C3D2F"/>
          <w:sz w:val="18"/>
          <w:szCs w:val="18"/>
        </w:rPr>
        <w:t xml:space="preserve"> on </w:t>
      </w:r>
      <w:proofErr w:type="spellStart"/>
      <w:r>
        <w:rPr>
          <w:rFonts w:ascii="Lucida Sans Unicode" w:hAnsi="Lucida Sans Unicode" w:cs="Lucida Sans Unicode"/>
          <w:color w:val="3C3D2F"/>
          <w:sz w:val="18"/>
          <w:szCs w:val="18"/>
        </w:rPr>
        <w:t>behaviour</w:t>
      </w:r>
      <w:proofErr w:type="spellEnd"/>
      <w:r>
        <w:rPr>
          <w:rFonts w:ascii="Lucida Sans Unicode" w:hAnsi="Lucida Sans Unicode" w:cs="Lucida Sans Unicode"/>
          <w:color w:val="3C3D2F"/>
          <w:sz w:val="18"/>
          <w:szCs w:val="18"/>
        </w:rPr>
        <w:t xml:space="preserve"> change.</w:t>
      </w:r>
      <w:bookmarkStart w:id="1" w:name="_ednref2"/>
      <w:r>
        <w:rPr>
          <w:rFonts w:ascii="Lucida Sans Unicode" w:hAnsi="Lucida Sans Unicode" w:cs="Lucida Sans Unicode"/>
          <w:color w:val="3C3D2F"/>
          <w:sz w:val="18"/>
          <w:szCs w:val="18"/>
        </w:rPr>
        <w:fldChar w:fldCharType="begin"/>
      </w:r>
      <w:r>
        <w:rPr>
          <w:rFonts w:ascii="Lucida Sans Unicode" w:hAnsi="Lucida Sans Unicode" w:cs="Lucida Sans Unicode"/>
          <w:color w:val="3C3D2F"/>
          <w:sz w:val="18"/>
          <w:szCs w:val="18"/>
        </w:rPr>
        <w:instrText xml:space="preserve"> HYPERLINK "https://www.downtoearth-indonesia.org/story/gender-and-development-basic-concepts" \l "_edn2" \o "" </w:instrText>
      </w:r>
      <w:r>
        <w:rPr>
          <w:rFonts w:ascii="Lucida Sans Unicode" w:hAnsi="Lucida Sans Unicode" w:cs="Lucida Sans Unicode"/>
          <w:color w:val="3C3D2F"/>
          <w:sz w:val="18"/>
          <w:szCs w:val="18"/>
        </w:rPr>
        <w:fldChar w:fldCharType="separate"/>
      </w:r>
      <w:r>
        <w:rPr>
          <w:rStyle w:val="Hyperlink"/>
          <w:rFonts w:ascii="Lucida Sans Unicode" w:hAnsi="Lucida Sans Unicode" w:cs="Lucida Sans Unicode"/>
          <w:color w:val="E76832"/>
          <w:sz w:val="18"/>
          <w:szCs w:val="18"/>
          <w:u w:val="none"/>
        </w:rPr>
        <w:t>[2]</w:t>
      </w:r>
      <w:r>
        <w:rPr>
          <w:rFonts w:ascii="Lucida Sans Unicode" w:hAnsi="Lucida Sans Unicode" w:cs="Lucida Sans Unicode"/>
          <w:color w:val="3C3D2F"/>
          <w:sz w:val="18"/>
          <w:szCs w:val="18"/>
        </w:rPr>
        <w:fldChar w:fldCharType="end"/>
      </w:r>
      <w:bookmarkEnd w:id="1"/>
    </w:p>
    <w:p w14:paraId="2AB6491F"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Style w:val="Strong"/>
          <w:rFonts w:ascii="Lucida Sans Unicode" w:hAnsi="Lucida Sans Unicode" w:cs="Lucida Sans Unicode"/>
          <w:color w:val="3C3D2F"/>
          <w:sz w:val="18"/>
          <w:szCs w:val="18"/>
        </w:rPr>
        <w:t>Gender and social movements</w:t>
      </w:r>
    </w:p>
    <w:p w14:paraId="2E1FE588" w14:textId="7777777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 xml:space="preserve">Throughout the globe people are </w:t>
      </w:r>
      <w:proofErr w:type="spellStart"/>
      <w:r>
        <w:rPr>
          <w:rFonts w:ascii="Lucida Sans Unicode" w:hAnsi="Lucida Sans Unicode" w:cs="Lucida Sans Unicode"/>
          <w:color w:val="3C3D2F"/>
          <w:sz w:val="18"/>
          <w:szCs w:val="18"/>
        </w:rPr>
        <w:t>organising</w:t>
      </w:r>
      <w:proofErr w:type="spellEnd"/>
      <w:r>
        <w:rPr>
          <w:rFonts w:ascii="Lucida Sans Unicode" w:hAnsi="Lucida Sans Unicode" w:cs="Lucida Sans Unicode"/>
          <w:color w:val="3C3D2F"/>
          <w:sz w:val="18"/>
          <w:szCs w:val="18"/>
        </w:rPr>
        <w:t xml:space="preserve"> both to challenge and end gender injustice in all areas of our social, economic, political, and cultural lives. To be successful, however, these struggles need to include and </w:t>
      </w:r>
      <w:proofErr w:type="spellStart"/>
      <w:r>
        <w:rPr>
          <w:rFonts w:ascii="Lucida Sans Unicode" w:hAnsi="Lucida Sans Unicode" w:cs="Lucida Sans Unicode"/>
          <w:color w:val="3C3D2F"/>
          <w:sz w:val="18"/>
          <w:szCs w:val="18"/>
        </w:rPr>
        <w:t>prioritise</w:t>
      </w:r>
      <w:proofErr w:type="spellEnd"/>
      <w:r>
        <w:rPr>
          <w:rFonts w:ascii="Lucida Sans Unicode" w:hAnsi="Lucida Sans Unicode" w:cs="Lucida Sans Unicode"/>
          <w:color w:val="3C3D2F"/>
          <w:sz w:val="18"/>
          <w:szCs w:val="18"/>
        </w:rPr>
        <w:t xml:space="preserve"> gender equality within their own </w:t>
      </w:r>
      <w:proofErr w:type="spellStart"/>
      <w:r>
        <w:rPr>
          <w:rFonts w:ascii="Lucida Sans Unicode" w:hAnsi="Lucida Sans Unicode" w:cs="Lucida Sans Unicode"/>
          <w:color w:val="3C3D2F"/>
          <w:sz w:val="18"/>
          <w:szCs w:val="18"/>
        </w:rPr>
        <w:t>organisational</w:t>
      </w:r>
      <w:proofErr w:type="spellEnd"/>
      <w:r>
        <w:rPr>
          <w:rFonts w:ascii="Lucida Sans Unicode" w:hAnsi="Lucida Sans Unicode" w:cs="Lucida Sans Unicode"/>
          <w:color w:val="3C3D2F"/>
          <w:sz w:val="18"/>
          <w:szCs w:val="18"/>
        </w:rPr>
        <w:t xml:space="preserve"> structures as well as being part of the analysis and methodology for change. This is a deeply political issue at a variety of levels.  Although social movements are trying to address this, activists still come up against strong resistance to changing gendered politics and practices even within the contexts of movements and allied </w:t>
      </w:r>
      <w:proofErr w:type="spellStart"/>
      <w:r>
        <w:rPr>
          <w:rFonts w:ascii="Lucida Sans Unicode" w:hAnsi="Lucida Sans Unicode" w:cs="Lucida Sans Unicode"/>
          <w:color w:val="3C3D2F"/>
          <w:sz w:val="18"/>
          <w:szCs w:val="18"/>
        </w:rPr>
        <w:t>organisations</w:t>
      </w:r>
      <w:proofErr w:type="spellEnd"/>
      <w:r>
        <w:rPr>
          <w:rFonts w:ascii="Lucida Sans Unicode" w:hAnsi="Lucida Sans Unicode" w:cs="Lucida Sans Unicode"/>
          <w:color w:val="3C3D2F"/>
          <w:sz w:val="18"/>
          <w:szCs w:val="18"/>
        </w:rPr>
        <w:t>. Nevertheless, when it comes to making an impact on transforming gender power relations, social movements are crucial.</w:t>
      </w:r>
    </w:p>
    <w:p w14:paraId="18B55FE3" w14:textId="012C33E7" w:rsidR="0009785E" w:rsidRDefault="0009785E" w:rsidP="0009785E">
      <w:pPr>
        <w:pStyle w:val="NormalWeb"/>
        <w:spacing w:before="240" w:beforeAutospacing="0" w:after="240" w:afterAutospacing="0"/>
        <w:rPr>
          <w:rFonts w:ascii="Lucida Sans Unicode" w:hAnsi="Lucida Sans Unicode" w:cs="Lucida Sans Unicode"/>
          <w:color w:val="3C3D2F"/>
          <w:sz w:val="18"/>
          <w:szCs w:val="18"/>
        </w:rPr>
      </w:pPr>
      <w:r>
        <w:rPr>
          <w:rFonts w:ascii="Lucida Sans Unicode" w:hAnsi="Lucida Sans Unicode" w:cs="Lucida Sans Unicode"/>
          <w:color w:val="3C3D2F"/>
          <w:sz w:val="18"/>
          <w:szCs w:val="18"/>
        </w:rPr>
        <w:t xml:space="preserve">Integrating gender perspectives into social movements and activism is not just about 'including' women or 'thinking about' men and gender minorities. It means considering what a gendered politics provides in terms of alternative ways of being, seeing and doing that in themselves serve to transform patriarchal </w:t>
      </w:r>
      <w:r>
        <w:rPr>
          <w:rFonts w:ascii="Lucida Sans Unicode" w:hAnsi="Lucida Sans Unicode" w:cs="Lucida Sans Unicode"/>
          <w:color w:val="3C3D2F"/>
          <w:sz w:val="18"/>
          <w:szCs w:val="18"/>
        </w:rPr>
        <w:lastRenderedPageBreak/>
        <w:t xml:space="preserve">power relations. Women's rights and gender justice issues have been approached in a variety of ways by different social movements, but some common parameters can be outlined which facilitate a supportive environment for gender-just movement building.  For example, affirming the importance of tackling gender inequality and patriarchal power as an integral component of justice and naming this as an explicit priority; engaging positively in internal reflection and action on women's rights and gender justice, providing support for women’s leadership and participation in all aspects of social movements, tackling gender based violence and harassment. Ensuring equal role/rank distribution in </w:t>
      </w:r>
      <w:proofErr w:type="spellStart"/>
      <w:r>
        <w:rPr>
          <w:rFonts w:ascii="Lucida Sans Unicode" w:hAnsi="Lucida Sans Unicode" w:cs="Lucida Sans Unicode"/>
          <w:color w:val="3C3D2F"/>
          <w:sz w:val="18"/>
          <w:szCs w:val="18"/>
        </w:rPr>
        <w:t>organisational</w:t>
      </w:r>
      <w:proofErr w:type="spellEnd"/>
      <w:r>
        <w:rPr>
          <w:rFonts w:ascii="Lucida Sans Unicode" w:hAnsi="Lucida Sans Unicode" w:cs="Lucida Sans Unicode"/>
          <w:color w:val="3C3D2F"/>
          <w:sz w:val="18"/>
          <w:szCs w:val="18"/>
        </w:rPr>
        <w:t xml:space="preserve"> structures, making sure participation is equal, taking account of caring for family members, taking account of the fact that women may be targeted in retaliation by those in society who feel threatened by gender justice as a change to traditional roles.</w:t>
      </w:r>
    </w:p>
    <w:p w14:paraId="6D93E00E" w14:textId="17CFCD62" w:rsidR="0009785E" w:rsidRDefault="0009785E"/>
    <w:p w14:paraId="1A06DF61" w14:textId="6971B643" w:rsidR="0009785E" w:rsidRDefault="0009785E">
      <w:hyperlink r:id="rId4" w:history="1">
        <w:r>
          <w:rPr>
            <w:rStyle w:val="Hyperlink"/>
          </w:rPr>
          <w:t>https://www.downtoearth-indonesia.org/story/gender-</w:t>
        </w:r>
        <w:bookmarkStart w:id="2" w:name="_GoBack"/>
        <w:bookmarkEnd w:id="2"/>
        <w:r>
          <w:rPr>
            <w:rStyle w:val="Hyperlink"/>
          </w:rPr>
          <w:t>and-development-basic-concepts</w:t>
        </w:r>
      </w:hyperlink>
    </w:p>
    <w:sectPr w:rsidR="000978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85E"/>
    <w:rsid w:val="00097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485EB"/>
  <w15:chartTrackingRefBased/>
  <w15:docId w15:val="{F870F46E-255F-447B-9878-F297CD5B3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978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85E"/>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0978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9785E"/>
    <w:rPr>
      <w:b/>
      <w:bCs/>
    </w:rPr>
  </w:style>
  <w:style w:type="character" w:styleId="Hyperlink">
    <w:name w:val="Hyperlink"/>
    <w:basedOn w:val="DefaultParagraphFont"/>
    <w:uiPriority w:val="99"/>
    <w:semiHidden/>
    <w:unhideWhenUsed/>
    <w:rsid w:val="000978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170876">
      <w:bodyDiv w:val="1"/>
      <w:marLeft w:val="0"/>
      <w:marRight w:val="0"/>
      <w:marTop w:val="0"/>
      <w:marBottom w:val="0"/>
      <w:divBdr>
        <w:top w:val="none" w:sz="0" w:space="0" w:color="auto"/>
        <w:left w:val="none" w:sz="0" w:space="0" w:color="auto"/>
        <w:bottom w:val="none" w:sz="0" w:space="0" w:color="auto"/>
        <w:right w:val="none" w:sz="0" w:space="0" w:color="auto"/>
      </w:divBdr>
    </w:div>
    <w:div w:id="1011836259">
      <w:bodyDiv w:val="1"/>
      <w:marLeft w:val="0"/>
      <w:marRight w:val="0"/>
      <w:marTop w:val="0"/>
      <w:marBottom w:val="0"/>
      <w:divBdr>
        <w:top w:val="none" w:sz="0" w:space="0" w:color="auto"/>
        <w:left w:val="none" w:sz="0" w:space="0" w:color="auto"/>
        <w:bottom w:val="none" w:sz="0" w:space="0" w:color="auto"/>
        <w:right w:val="none" w:sz="0" w:space="0" w:color="auto"/>
      </w:divBdr>
    </w:div>
    <w:div w:id="155977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owntoearth-indonesia.org/story/gender-and-development-basic-concep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1207</Words>
  <Characters>6884</Characters>
  <Application>Microsoft Office Word</Application>
  <DocSecurity>0</DocSecurity>
  <Lines>57</Lines>
  <Paragraphs>16</Paragraphs>
  <ScaleCrop>false</ScaleCrop>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Ansar Abbas</dc:creator>
  <cp:keywords/>
  <dc:description/>
  <cp:lastModifiedBy>Ansar Abbas</cp:lastModifiedBy>
  <cp:revision>1</cp:revision>
  <dcterms:created xsi:type="dcterms:W3CDTF">2020-03-25T17:26:00Z</dcterms:created>
  <dcterms:modified xsi:type="dcterms:W3CDTF">2020-03-25T17:29:00Z</dcterms:modified>
</cp:coreProperties>
</file>